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94" w:rsidRPr="00517977" w:rsidRDefault="00055BD6" w:rsidP="00690D94">
      <w:r w:rsidRPr="00055BD6">
        <w:rPr>
          <w:b/>
          <w:sz w:val="28"/>
          <w:szCs w:val="28"/>
        </w:rPr>
        <w:t xml:space="preserve">Online </w:t>
      </w:r>
      <w:r w:rsidR="001D62BA">
        <w:rPr>
          <w:b/>
          <w:sz w:val="28"/>
          <w:szCs w:val="28"/>
        </w:rPr>
        <w:t>E</w:t>
      </w:r>
      <w:r w:rsidRPr="00055BD6">
        <w:rPr>
          <w:b/>
          <w:sz w:val="28"/>
          <w:szCs w:val="28"/>
        </w:rPr>
        <w:t xml:space="preserve">xperimental </w:t>
      </w:r>
      <w:r w:rsidR="001D62BA">
        <w:rPr>
          <w:b/>
          <w:sz w:val="28"/>
          <w:szCs w:val="28"/>
        </w:rPr>
        <w:t>C</w:t>
      </w:r>
      <w:r w:rsidRPr="00055BD6">
        <w:rPr>
          <w:b/>
          <w:sz w:val="28"/>
          <w:szCs w:val="28"/>
        </w:rPr>
        <w:t xml:space="preserve">ourse </w:t>
      </w:r>
      <w:r w:rsidR="001D62BA">
        <w:rPr>
          <w:b/>
          <w:sz w:val="28"/>
          <w:szCs w:val="28"/>
        </w:rPr>
        <w:t>P</w:t>
      </w:r>
      <w:r w:rsidRPr="00055BD6">
        <w:rPr>
          <w:b/>
          <w:sz w:val="28"/>
          <w:szCs w:val="28"/>
        </w:rPr>
        <w:t>rocess</w:t>
      </w:r>
      <w:r>
        <w:rPr>
          <w:b/>
          <w:sz w:val="28"/>
          <w:szCs w:val="28"/>
        </w:rPr>
        <w:br/>
      </w:r>
      <w:r w:rsidR="00690D94" w:rsidRPr="00517977">
        <w:t>https://nextcatalog.registrar.iastate.edu/cimx/</w:t>
      </w:r>
    </w:p>
    <w:p w:rsidR="00517977" w:rsidRPr="00517977" w:rsidRDefault="00055BD6" w:rsidP="00517977">
      <w:pPr>
        <w:tabs>
          <w:tab w:val="left" w:pos="1479"/>
        </w:tabs>
        <w:rPr>
          <w:b/>
        </w:rPr>
      </w:pPr>
      <w:r w:rsidRPr="00517977">
        <w:rPr>
          <w:b/>
          <w:sz w:val="24"/>
          <w:szCs w:val="24"/>
        </w:rPr>
        <w:t>Quick Facts</w:t>
      </w:r>
      <w:r w:rsidR="00517977" w:rsidRPr="00517977">
        <w:rPr>
          <w:b/>
          <w:sz w:val="24"/>
          <w:szCs w:val="24"/>
        </w:rPr>
        <w:tab/>
      </w:r>
      <w:r>
        <w:rPr>
          <w:b/>
        </w:rPr>
        <w:br/>
      </w:r>
      <w:r w:rsidR="00690D94" w:rsidRPr="00517977">
        <w:rPr>
          <w:b/>
        </w:rPr>
        <w:t>Experimental courses a</w:t>
      </w:r>
      <w:r w:rsidR="00517977" w:rsidRPr="00517977">
        <w:rPr>
          <w:b/>
        </w:rPr>
        <w:t xml:space="preserve">re courses not in the catalog. </w:t>
      </w:r>
    </w:p>
    <w:p w:rsidR="00517977" w:rsidRDefault="009F5B00" w:rsidP="00517977">
      <w:pPr>
        <w:pStyle w:val="ListParagraph"/>
        <w:numPr>
          <w:ilvl w:val="0"/>
          <w:numId w:val="6"/>
        </w:numPr>
        <w:tabs>
          <w:tab w:val="num" w:pos="1440"/>
        </w:tabs>
      </w:pPr>
      <w:r w:rsidRPr="00690D94">
        <w:t>Identified by an X for its suffix (e.g., ENGL 121X)</w:t>
      </w:r>
    </w:p>
    <w:p w:rsidR="00690D94" w:rsidRDefault="009F5B00" w:rsidP="00517977">
      <w:pPr>
        <w:pStyle w:val="ListParagraph"/>
        <w:numPr>
          <w:ilvl w:val="0"/>
          <w:numId w:val="6"/>
        </w:numPr>
        <w:tabs>
          <w:tab w:val="num" w:pos="1440"/>
        </w:tabs>
      </w:pPr>
      <w:r w:rsidRPr="00690D94">
        <w:t>Standard number information:</w:t>
      </w:r>
      <w:r w:rsidR="00690D94">
        <w:br/>
      </w:r>
      <w:hyperlink r:id="rId6" w:history="1">
        <w:r w:rsidR="00690D94" w:rsidRPr="00690D94">
          <w:rPr>
            <w:rStyle w:val="Hyperlink"/>
          </w:rPr>
          <w:t>http</w:t>
        </w:r>
      </w:hyperlink>
      <w:hyperlink r:id="rId7" w:history="1">
        <w:r w:rsidR="00690D94" w:rsidRPr="00690D94">
          <w:rPr>
            <w:rStyle w:val="Hyperlink"/>
          </w:rPr>
          <w:t>://www.registrar.iastate.edu/faculty-staff/offeringinfo</w:t>
        </w:r>
      </w:hyperlink>
    </w:p>
    <w:p w:rsidR="00195B65" w:rsidRPr="00195B65" w:rsidRDefault="00195B65" w:rsidP="00195B6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195B65">
        <w:rPr>
          <w:bCs/>
          <w:sz w:val="18"/>
          <w:szCs w:val="18"/>
        </w:rPr>
        <w:t>Courses not carrying credit toward a degree (zero credit).</w:t>
      </w:r>
    </w:p>
    <w:p w:rsidR="00195B65" w:rsidRPr="00195B65" w:rsidRDefault="00195B65" w:rsidP="00195B6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195B65">
        <w:rPr>
          <w:bCs/>
          <w:sz w:val="18"/>
          <w:szCs w:val="18"/>
        </w:rPr>
        <w:t>Courses primarily for freshman and sophomore students.</w:t>
      </w:r>
    </w:p>
    <w:p w:rsidR="00195B65" w:rsidRPr="00195B65" w:rsidRDefault="00195B65" w:rsidP="00195B6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195B65">
        <w:rPr>
          <w:bCs/>
          <w:sz w:val="18"/>
          <w:szCs w:val="18"/>
        </w:rPr>
        <w:t>Courses primarily for junior and senior students.</w:t>
      </w:r>
    </w:p>
    <w:p w:rsidR="00195B65" w:rsidRPr="00195B65" w:rsidRDefault="00195B65" w:rsidP="00195B65">
      <w:pPr>
        <w:numPr>
          <w:ilvl w:val="1"/>
          <w:numId w:val="14"/>
        </w:numPr>
        <w:tabs>
          <w:tab w:val="clear" w:pos="795"/>
          <w:tab w:val="num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bCs/>
          <w:sz w:val="18"/>
          <w:szCs w:val="18"/>
        </w:rPr>
      </w:pPr>
      <w:r w:rsidRPr="00195B65">
        <w:rPr>
          <w:bCs/>
          <w:sz w:val="18"/>
          <w:szCs w:val="18"/>
        </w:rPr>
        <w:t>Courses primarily for graduate students, but open to qualified undergraduates.</w:t>
      </w:r>
    </w:p>
    <w:p w:rsidR="00195B65" w:rsidRPr="00195B65" w:rsidRDefault="00195B65" w:rsidP="00195B65">
      <w:pPr>
        <w:autoSpaceDE w:val="0"/>
        <w:autoSpaceDN w:val="0"/>
        <w:adjustRightInd w:val="0"/>
        <w:rPr>
          <w:bCs/>
          <w:sz w:val="18"/>
          <w:szCs w:val="18"/>
        </w:rPr>
      </w:pPr>
      <w:r w:rsidRPr="00195B65">
        <w:rPr>
          <w:bCs/>
          <w:sz w:val="18"/>
          <w:szCs w:val="18"/>
        </w:rPr>
        <w:t>600-699</w:t>
      </w:r>
      <w:r w:rsidRPr="00195B65">
        <w:rPr>
          <w:bCs/>
          <w:sz w:val="18"/>
          <w:szCs w:val="18"/>
        </w:rPr>
        <w:tab/>
        <w:t>Courses for graduate students.</w:t>
      </w:r>
    </w:p>
    <w:p w:rsidR="00195B65" w:rsidRPr="00195B65" w:rsidRDefault="00195B65" w:rsidP="00195B65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  <w:r w:rsidRPr="00195B65">
        <w:rPr>
          <w:color w:val="000000"/>
          <w:sz w:val="18"/>
          <w:szCs w:val="18"/>
        </w:rPr>
        <w:t>Course numbers that cannot be used for experimental courses</w:t>
      </w:r>
    </w:p>
    <w:p w:rsidR="00195B65" w:rsidRPr="00195B65" w:rsidRDefault="00195B65" w:rsidP="00195B65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  <w:r w:rsidRPr="00195B65">
        <w:rPr>
          <w:b/>
          <w:color w:val="000000"/>
          <w:sz w:val="18"/>
          <w:szCs w:val="18"/>
        </w:rPr>
        <w:t>All Colleges</w:t>
      </w:r>
      <w:r w:rsidRPr="00195B65">
        <w:rPr>
          <w:b/>
          <w:color w:val="000000"/>
          <w:sz w:val="18"/>
          <w:szCs w:val="18"/>
        </w:rPr>
        <w:br/>
      </w:r>
      <w:r w:rsidRPr="00195B65">
        <w:rPr>
          <w:color w:val="000000"/>
          <w:sz w:val="18"/>
          <w:szCs w:val="18"/>
        </w:rPr>
        <w:t>100, 200, 300, 400, 500, and 600 - Course numbers ending in double zero are used to bring in transfer credit that is acceptable credit, but does not have an ISU equivalent.</w:t>
      </w:r>
      <w:r w:rsidRPr="00195B65">
        <w:rPr>
          <w:color w:val="000000"/>
          <w:sz w:val="18"/>
          <w:szCs w:val="18"/>
        </w:rPr>
        <w:br/>
        <w:t>290 - Independent study</w:t>
      </w:r>
      <w:r w:rsidRPr="00195B65">
        <w:rPr>
          <w:color w:val="000000"/>
          <w:sz w:val="18"/>
          <w:szCs w:val="18"/>
        </w:rPr>
        <w:br/>
        <w:t>393 – Workshop</w:t>
      </w:r>
      <w:r w:rsidRPr="00195B65">
        <w:rPr>
          <w:color w:val="000000"/>
          <w:sz w:val="18"/>
          <w:szCs w:val="18"/>
        </w:rPr>
        <w:br/>
        <w:t>398 - Cooperative Education</w:t>
      </w:r>
      <w:r w:rsidRPr="00195B65">
        <w:rPr>
          <w:color w:val="000000"/>
          <w:sz w:val="18"/>
          <w:szCs w:val="18"/>
        </w:rPr>
        <w:br/>
        <w:t>490 - Independent study</w:t>
      </w:r>
      <w:r w:rsidRPr="00195B65">
        <w:rPr>
          <w:color w:val="000000"/>
          <w:sz w:val="18"/>
          <w:szCs w:val="18"/>
        </w:rPr>
        <w:br/>
        <w:t>493 – Workshop</w:t>
      </w:r>
      <w:r w:rsidRPr="00195B65">
        <w:rPr>
          <w:color w:val="000000"/>
          <w:sz w:val="18"/>
          <w:szCs w:val="18"/>
        </w:rPr>
        <w:br/>
        <w:t>499 - Undergraduate research, seminars, or senior projects (not completely standardized)</w:t>
      </w:r>
      <w:r w:rsidRPr="00195B65">
        <w:rPr>
          <w:color w:val="000000"/>
          <w:sz w:val="18"/>
          <w:szCs w:val="18"/>
        </w:rPr>
        <w:br/>
        <w:t>590 - Special topics</w:t>
      </w:r>
      <w:r w:rsidRPr="00195B65">
        <w:rPr>
          <w:color w:val="000000"/>
          <w:sz w:val="18"/>
          <w:szCs w:val="18"/>
        </w:rPr>
        <w:br/>
        <w:t>593 – Workshop</w:t>
      </w:r>
      <w:r w:rsidRPr="00195B65">
        <w:rPr>
          <w:color w:val="000000"/>
          <w:sz w:val="18"/>
          <w:szCs w:val="18"/>
        </w:rPr>
        <w:br/>
        <w:t>599 - Creative component</w:t>
      </w:r>
      <w:r w:rsidRPr="00195B65">
        <w:rPr>
          <w:color w:val="000000"/>
          <w:sz w:val="18"/>
          <w:szCs w:val="18"/>
        </w:rPr>
        <w:br/>
        <w:t>690 - Special or advanced topics</w:t>
      </w:r>
      <w:r w:rsidRPr="00195B65">
        <w:rPr>
          <w:color w:val="000000"/>
          <w:sz w:val="18"/>
          <w:szCs w:val="18"/>
        </w:rPr>
        <w:br/>
        <w:t>699 - Research</w:t>
      </w:r>
    </w:p>
    <w:p w:rsidR="00195B65" w:rsidRPr="00195B65" w:rsidRDefault="00195B65" w:rsidP="00195B65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  <w:r w:rsidRPr="00195B65">
        <w:rPr>
          <w:b/>
          <w:color w:val="000000"/>
          <w:sz w:val="18"/>
          <w:szCs w:val="18"/>
        </w:rPr>
        <w:t>College of Human Sciences</w:t>
      </w:r>
      <w:r w:rsidRPr="00195B65">
        <w:rPr>
          <w:b/>
          <w:color w:val="000000"/>
          <w:sz w:val="18"/>
          <w:szCs w:val="18"/>
        </w:rPr>
        <w:br/>
      </w:r>
      <w:r w:rsidRPr="00195B65">
        <w:rPr>
          <w:color w:val="000000"/>
          <w:sz w:val="18"/>
          <w:szCs w:val="18"/>
        </w:rPr>
        <w:t>416 and 417 - Student Teaching</w:t>
      </w:r>
    </w:p>
    <w:p w:rsidR="00195B65" w:rsidRPr="00195B65" w:rsidRDefault="00195B65" w:rsidP="00195B65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  <w:r w:rsidRPr="00195B65">
        <w:rPr>
          <w:b/>
          <w:color w:val="000000"/>
          <w:sz w:val="18"/>
          <w:szCs w:val="18"/>
        </w:rPr>
        <w:t xml:space="preserve">College of </w:t>
      </w:r>
      <w:proofErr w:type="gramStart"/>
      <w:r w:rsidRPr="00195B65">
        <w:rPr>
          <w:b/>
          <w:color w:val="000000"/>
          <w:sz w:val="18"/>
          <w:szCs w:val="18"/>
        </w:rPr>
        <w:t>Engineering</w:t>
      </w:r>
      <w:r w:rsidRPr="00195B65">
        <w:rPr>
          <w:b/>
          <w:color w:val="000000"/>
          <w:sz w:val="18"/>
          <w:szCs w:val="18"/>
        </w:rPr>
        <w:br/>
      </w:r>
      <w:r w:rsidRPr="00195B65">
        <w:rPr>
          <w:color w:val="000000"/>
          <w:sz w:val="18"/>
          <w:szCs w:val="18"/>
        </w:rPr>
        <w:t xml:space="preserve">397 - Internship in the </w:t>
      </w:r>
      <w:proofErr w:type="spellStart"/>
      <w:r w:rsidRPr="00195B65">
        <w:rPr>
          <w:color w:val="000000"/>
          <w:sz w:val="18"/>
          <w:szCs w:val="18"/>
        </w:rPr>
        <w:t>Engr</w:t>
      </w:r>
      <w:proofErr w:type="spellEnd"/>
      <w:r w:rsidRPr="00195B65">
        <w:rPr>
          <w:color w:val="000000"/>
          <w:sz w:val="18"/>
          <w:szCs w:val="18"/>
        </w:rPr>
        <w:t xml:space="preserve"> College</w:t>
      </w:r>
      <w:r w:rsidRPr="00195B65">
        <w:rPr>
          <w:color w:val="000000"/>
          <w:sz w:val="18"/>
          <w:szCs w:val="18"/>
        </w:rPr>
        <w:br/>
        <w:t>298 and 498 - Cooperative Education</w:t>
      </w:r>
      <w:proofErr w:type="gramEnd"/>
    </w:p>
    <w:p w:rsidR="00195B65" w:rsidRPr="00195B65" w:rsidRDefault="001D62BA" w:rsidP="00195B6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Additional </w:t>
      </w:r>
      <w:r w:rsidR="00195B65" w:rsidRPr="00195B65">
        <w:rPr>
          <w:sz w:val="18"/>
          <w:szCs w:val="18"/>
        </w:rPr>
        <w:t>standardize</w:t>
      </w:r>
      <w:r>
        <w:rPr>
          <w:sz w:val="18"/>
          <w:szCs w:val="18"/>
        </w:rPr>
        <w:t>d</w:t>
      </w:r>
      <w:r w:rsidR="00195B65" w:rsidRPr="00195B65">
        <w:rPr>
          <w:sz w:val="18"/>
          <w:szCs w:val="18"/>
        </w:rPr>
        <w:t xml:space="preserve"> course numbers </w:t>
      </w:r>
      <w:r>
        <w:rPr>
          <w:sz w:val="18"/>
          <w:szCs w:val="18"/>
        </w:rPr>
        <w:t>may exist within a department/college</w:t>
      </w:r>
      <w:r w:rsidR="00195B65" w:rsidRPr="00195B65">
        <w:rPr>
          <w:sz w:val="18"/>
          <w:szCs w:val="18"/>
        </w:rPr>
        <w:t>.  Please check with your department and/or college curriculum committee.</w:t>
      </w:r>
    </w:p>
    <w:p w:rsidR="002E3A32" w:rsidRPr="00517977" w:rsidRDefault="009F5B00" w:rsidP="00055BD6">
      <w:pPr>
        <w:tabs>
          <w:tab w:val="num" w:pos="1440"/>
        </w:tabs>
        <w:rPr>
          <w:b/>
        </w:rPr>
      </w:pPr>
      <w:r w:rsidRPr="00517977">
        <w:rPr>
          <w:b/>
        </w:rPr>
        <w:t>Approvals needed from originating and cross-listed departments</w:t>
      </w:r>
      <w:r w:rsidR="00690D94" w:rsidRPr="00517977">
        <w:rPr>
          <w:b/>
        </w:rPr>
        <w:t>—same as paper form</w:t>
      </w:r>
      <w:r w:rsidRPr="00517977">
        <w:rPr>
          <w:b/>
        </w:rPr>
        <w:t>:</w:t>
      </w:r>
    </w:p>
    <w:p w:rsidR="00690D94" w:rsidRPr="00690D94" w:rsidRDefault="00690D94" w:rsidP="00517977">
      <w:pPr>
        <w:pStyle w:val="ListParagraph"/>
        <w:numPr>
          <w:ilvl w:val="0"/>
          <w:numId w:val="8"/>
        </w:numPr>
      </w:pPr>
      <w:r w:rsidRPr="00690D94">
        <w:t>Program/Dept. curriculum chair</w:t>
      </w:r>
    </w:p>
    <w:p w:rsidR="00690D94" w:rsidRPr="00690D94" w:rsidRDefault="00690D94" w:rsidP="00517977">
      <w:pPr>
        <w:pStyle w:val="ListParagraph"/>
        <w:numPr>
          <w:ilvl w:val="0"/>
          <w:numId w:val="8"/>
        </w:numPr>
      </w:pPr>
      <w:r w:rsidRPr="00690D94">
        <w:t>Program/Dept. chair</w:t>
      </w:r>
    </w:p>
    <w:p w:rsidR="00690D94" w:rsidRPr="00690D94" w:rsidRDefault="00690D94" w:rsidP="00517977">
      <w:pPr>
        <w:pStyle w:val="ListParagraph"/>
        <w:numPr>
          <w:ilvl w:val="0"/>
          <w:numId w:val="8"/>
        </w:numPr>
      </w:pPr>
      <w:r w:rsidRPr="00690D94">
        <w:t>College curriculum Chair</w:t>
      </w:r>
    </w:p>
    <w:p w:rsidR="00690D94" w:rsidRPr="00690D94" w:rsidRDefault="00690D94" w:rsidP="00517977">
      <w:pPr>
        <w:pStyle w:val="ListParagraph"/>
        <w:numPr>
          <w:ilvl w:val="0"/>
          <w:numId w:val="8"/>
        </w:numPr>
      </w:pPr>
      <w:r w:rsidRPr="00690D94">
        <w:t>College dean, if appropriate</w:t>
      </w:r>
    </w:p>
    <w:p w:rsidR="00230872" w:rsidRDefault="00690D94" w:rsidP="00517977">
      <w:pPr>
        <w:pStyle w:val="ListParagraph"/>
        <w:numPr>
          <w:ilvl w:val="0"/>
          <w:numId w:val="8"/>
        </w:numPr>
      </w:pPr>
      <w:r w:rsidRPr="00690D94">
        <w:t>Graduate College (for 500-level and above)</w:t>
      </w:r>
    </w:p>
    <w:p w:rsidR="00517977" w:rsidRPr="00517977" w:rsidRDefault="00690D94" w:rsidP="00517977">
      <w:pPr>
        <w:tabs>
          <w:tab w:val="num" w:pos="1440"/>
        </w:tabs>
        <w:rPr>
          <w:b/>
        </w:rPr>
      </w:pPr>
      <w:r w:rsidRPr="00517977">
        <w:rPr>
          <w:b/>
        </w:rPr>
        <w:lastRenderedPageBreak/>
        <w:t>Deadlines</w:t>
      </w:r>
    </w:p>
    <w:p w:rsidR="00517977" w:rsidRDefault="00690D94" w:rsidP="00517977">
      <w:pPr>
        <w:pStyle w:val="ListParagraph"/>
        <w:numPr>
          <w:ilvl w:val="0"/>
          <w:numId w:val="10"/>
        </w:numPr>
        <w:tabs>
          <w:tab w:val="num" w:pos="1440"/>
        </w:tabs>
      </w:pPr>
      <w:r>
        <w:t xml:space="preserve">June 1: </w:t>
      </w:r>
      <w:r w:rsidR="009F5B00" w:rsidRPr="00690D94">
        <w:t>For courses to be offered fall term</w:t>
      </w:r>
    </w:p>
    <w:p w:rsidR="00517977" w:rsidRDefault="00690D94" w:rsidP="00517977">
      <w:pPr>
        <w:pStyle w:val="ListParagraph"/>
        <w:numPr>
          <w:ilvl w:val="0"/>
          <w:numId w:val="10"/>
        </w:numPr>
        <w:tabs>
          <w:tab w:val="num" w:pos="1440"/>
        </w:tabs>
      </w:pPr>
      <w:r w:rsidRPr="00690D94">
        <w:t>October 1</w:t>
      </w:r>
      <w:r>
        <w:t xml:space="preserve">: </w:t>
      </w:r>
      <w:r w:rsidR="009F5B00" w:rsidRPr="00690D94">
        <w:t>For courses to be offered in the spring</w:t>
      </w:r>
    </w:p>
    <w:p w:rsidR="002E3A32" w:rsidRDefault="00690D94" w:rsidP="00517977">
      <w:pPr>
        <w:pStyle w:val="ListParagraph"/>
        <w:numPr>
          <w:ilvl w:val="0"/>
          <w:numId w:val="10"/>
        </w:numPr>
        <w:tabs>
          <w:tab w:val="num" w:pos="1440"/>
        </w:tabs>
      </w:pPr>
      <w:r w:rsidRPr="00690D94">
        <w:t>March 1</w:t>
      </w:r>
      <w:r>
        <w:t xml:space="preserve">: </w:t>
      </w:r>
      <w:r w:rsidR="009F5B00" w:rsidRPr="00690D94">
        <w:t>For courses to be offered in the summer</w:t>
      </w:r>
    </w:p>
    <w:p w:rsidR="009E43F8" w:rsidRPr="009E43F8" w:rsidRDefault="00517977" w:rsidP="009E43F8">
      <w:pPr>
        <w:tabs>
          <w:tab w:val="num" w:pos="1440"/>
        </w:tabs>
        <w:rPr>
          <w:b/>
        </w:rPr>
      </w:pPr>
      <w:r w:rsidRPr="009E43F8">
        <w:rPr>
          <w:b/>
        </w:rPr>
        <w:t>Recirculation</w:t>
      </w:r>
      <w:r w:rsidR="009E43F8" w:rsidRPr="009E43F8">
        <w:rPr>
          <w:b/>
        </w:rPr>
        <w:t xml:space="preserve"> from one catalog to the next if the following conditions are satisfied:</w:t>
      </w:r>
    </w:p>
    <w:p w:rsidR="009E43F8" w:rsidRPr="009E43F8" w:rsidRDefault="009E43F8" w:rsidP="009E43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9E43F8">
        <w:t>The course title, credits, and description have not changed.</w:t>
      </w:r>
    </w:p>
    <w:p w:rsidR="009E43F8" w:rsidRPr="009E43F8" w:rsidRDefault="009E43F8" w:rsidP="009E43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9E43F8">
        <w:t>The experimental course has not been offered more than three times.</w:t>
      </w:r>
    </w:p>
    <w:p w:rsidR="009E43F8" w:rsidRDefault="009E43F8" w:rsidP="009E43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9E43F8">
        <w:t>The experimental course was not included in the new catalog.</w:t>
      </w:r>
    </w:p>
    <w:p w:rsidR="009E43F8" w:rsidRDefault="009E43F8" w:rsidP="009E43F8">
      <w:pPr>
        <w:autoSpaceDE w:val="0"/>
        <w:autoSpaceDN w:val="0"/>
        <w:adjustRightInd w:val="0"/>
        <w:spacing w:after="0" w:line="240" w:lineRule="auto"/>
        <w:ind w:left="360"/>
      </w:pPr>
    </w:p>
    <w:p w:rsidR="009E43F8" w:rsidRPr="009E43F8" w:rsidRDefault="009E43F8" w:rsidP="009E43F8">
      <w:pPr>
        <w:autoSpaceDE w:val="0"/>
        <w:autoSpaceDN w:val="0"/>
        <w:adjustRightInd w:val="0"/>
        <w:spacing w:after="0" w:line="240" w:lineRule="auto"/>
      </w:pPr>
      <w:r w:rsidRPr="009E43F8">
        <w:rPr>
          <w:b/>
          <w:color w:val="000000"/>
        </w:rPr>
        <w:t>Recirculation Limits</w:t>
      </w:r>
    </w:p>
    <w:p w:rsidR="009E43F8" w:rsidRPr="009E43F8" w:rsidRDefault="009E43F8" w:rsidP="009E43F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9E43F8">
        <w:rPr>
          <w:color w:val="000000"/>
        </w:rPr>
        <w:t xml:space="preserve">May be offered up to three times, assuming no objection is raised. </w:t>
      </w:r>
    </w:p>
    <w:p w:rsidR="009E43F8" w:rsidRPr="009E43F8" w:rsidRDefault="009E43F8" w:rsidP="009E43F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9E43F8">
        <w:rPr>
          <w:color w:val="000000"/>
        </w:rPr>
        <w:t xml:space="preserve">After three offerings, the course must be reviewed by the appropriate college curriculum committee(s). </w:t>
      </w:r>
    </w:p>
    <w:p w:rsidR="009E43F8" w:rsidRPr="009E43F8" w:rsidRDefault="009E43F8" w:rsidP="009E43F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9E43F8">
        <w:rPr>
          <w:color w:val="000000"/>
        </w:rPr>
        <w:t xml:space="preserve">This review is to be of the same depth and thoroughness as the review conducted for courses proposed for inclusion in the catalog. </w:t>
      </w:r>
    </w:p>
    <w:p w:rsidR="00517977" w:rsidRDefault="00517977" w:rsidP="00690D94">
      <w:pPr>
        <w:tabs>
          <w:tab w:val="num" w:pos="1440"/>
        </w:tabs>
        <w:rPr>
          <w:b/>
        </w:rPr>
      </w:pPr>
      <w:r w:rsidRPr="00517977">
        <w:rPr>
          <w:b/>
        </w:rPr>
        <w:t>Add to the catalog</w:t>
      </w:r>
    </w:p>
    <w:p w:rsidR="00517977" w:rsidRDefault="001067CA" w:rsidP="00517977">
      <w:pPr>
        <w:pStyle w:val="ListParagraph"/>
        <w:numPr>
          <w:ilvl w:val="0"/>
          <w:numId w:val="10"/>
        </w:numPr>
        <w:tabs>
          <w:tab w:val="num" w:pos="1440"/>
        </w:tabs>
      </w:pPr>
      <w:r>
        <w:t>For registrar purposes, one successful offering should have occurred fall term before catalog publishing. (e.g., 2014-15 catalog should have successful offering Fall 2013)</w:t>
      </w:r>
    </w:p>
    <w:p w:rsidR="00517977" w:rsidRPr="00517977" w:rsidRDefault="001067CA" w:rsidP="00517977">
      <w:pPr>
        <w:pStyle w:val="ListParagraph"/>
        <w:numPr>
          <w:ilvl w:val="0"/>
          <w:numId w:val="10"/>
        </w:numPr>
        <w:tabs>
          <w:tab w:val="num" w:pos="1440"/>
        </w:tabs>
      </w:pPr>
      <w:r>
        <w:t>Departments/colleges may have additional restrictions</w:t>
      </w:r>
    </w:p>
    <w:p w:rsidR="009E43F8" w:rsidRPr="006A4FF6" w:rsidRDefault="009E43F8" w:rsidP="009E43F8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6A4FF6">
        <w:rPr>
          <w:b/>
          <w:color w:val="000000"/>
        </w:rPr>
        <w:t>Objections</w:t>
      </w:r>
    </w:p>
    <w:p w:rsidR="009E43F8" w:rsidRDefault="009E43F8" w:rsidP="009E43F8">
      <w:pPr>
        <w:autoSpaceDE w:val="0"/>
        <w:autoSpaceDN w:val="0"/>
        <w:adjustRightInd w:val="0"/>
        <w:rPr>
          <w:color w:val="000000"/>
        </w:rPr>
      </w:pPr>
      <w:r w:rsidRPr="006A4FF6">
        <w:rPr>
          <w:color w:val="000000"/>
        </w:rPr>
        <w:t>A department may file an objection to an experimental course announcement by</w:t>
      </w:r>
      <w:r>
        <w:rPr>
          <w:color w:val="000000"/>
        </w:rPr>
        <w:t xml:space="preserve"> </w:t>
      </w:r>
      <w:r w:rsidRPr="006A4FF6">
        <w:rPr>
          <w:color w:val="000000"/>
        </w:rPr>
        <w:t>another department. The department offering the course is permitted to offer it once</w:t>
      </w:r>
      <w:r>
        <w:rPr>
          <w:color w:val="000000"/>
        </w:rPr>
        <w:t xml:space="preserve"> </w:t>
      </w:r>
      <w:r w:rsidRPr="006A4FF6">
        <w:rPr>
          <w:color w:val="000000"/>
        </w:rPr>
        <w:t>as announced, but the course may not be offered again until the objection is resolved</w:t>
      </w:r>
      <w:r>
        <w:rPr>
          <w:color w:val="000000"/>
        </w:rPr>
        <w:t xml:space="preserve"> </w:t>
      </w:r>
      <w:r w:rsidRPr="006A4FF6">
        <w:rPr>
          <w:color w:val="000000"/>
        </w:rPr>
        <w:t>or until the Faculty Senate Curriculum Committee gives its approval.</w:t>
      </w:r>
    </w:p>
    <w:p w:rsidR="009E43F8" w:rsidRDefault="009E43F8" w:rsidP="009E43F8">
      <w:pPr>
        <w:autoSpaceDE w:val="0"/>
        <w:autoSpaceDN w:val="0"/>
        <w:adjustRightInd w:val="0"/>
        <w:rPr>
          <w:color w:val="000000"/>
        </w:rPr>
      </w:pPr>
      <w:r w:rsidRPr="006A4FF6">
        <w:rPr>
          <w:color w:val="000000"/>
        </w:rPr>
        <w:t>The procedure for filing an objection to an experimental course is as follows:</w:t>
      </w:r>
    </w:p>
    <w:p w:rsidR="009E43F8" w:rsidRDefault="009E43F8" w:rsidP="009E43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A4FF6">
        <w:rPr>
          <w:color w:val="000000"/>
        </w:rPr>
        <w:t>If the department filing the objection is in the same college as the department</w:t>
      </w:r>
      <w:r>
        <w:rPr>
          <w:color w:val="000000"/>
        </w:rPr>
        <w:t xml:space="preserve"> </w:t>
      </w:r>
      <w:r w:rsidRPr="006A4FF6">
        <w:rPr>
          <w:color w:val="000000"/>
        </w:rPr>
        <w:t>offering the course, a written objection should be made to the chair of the college</w:t>
      </w:r>
      <w:r>
        <w:rPr>
          <w:color w:val="000000"/>
        </w:rPr>
        <w:t xml:space="preserve"> </w:t>
      </w:r>
      <w:r w:rsidRPr="006A4FF6">
        <w:rPr>
          <w:color w:val="000000"/>
        </w:rPr>
        <w:t>curriculum committee (and, if appropriate, to the chair of the Graduate College</w:t>
      </w:r>
      <w:r>
        <w:rPr>
          <w:color w:val="000000"/>
        </w:rPr>
        <w:t xml:space="preserve"> </w:t>
      </w:r>
      <w:r w:rsidRPr="006A4FF6">
        <w:rPr>
          <w:color w:val="000000"/>
        </w:rPr>
        <w:t>Curriculum Committee). Copies should be provided to the Office of the Registrar</w:t>
      </w:r>
      <w:r>
        <w:rPr>
          <w:color w:val="000000"/>
        </w:rPr>
        <w:t xml:space="preserve"> </w:t>
      </w:r>
      <w:r w:rsidRPr="006A4FF6">
        <w:rPr>
          <w:color w:val="000000"/>
        </w:rPr>
        <w:t>and to the head of the department offering the course in question. The decision as</w:t>
      </w:r>
      <w:r>
        <w:rPr>
          <w:color w:val="000000"/>
        </w:rPr>
        <w:t xml:space="preserve"> </w:t>
      </w:r>
      <w:r w:rsidRPr="006A4FF6">
        <w:rPr>
          <w:color w:val="000000"/>
        </w:rPr>
        <w:t>to whether the course can be offered again is reserved for the college curriculum</w:t>
      </w:r>
      <w:r>
        <w:rPr>
          <w:color w:val="000000"/>
        </w:rPr>
        <w:t xml:space="preserve"> </w:t>
      </w:r>
      <w:r w:rsidRPr="006A4FF6">
        <w:rPr>
          <w:color w:val="000000"/>
        </w:rPr>
        <w:t>committee.</w:t>
      </w:r>
    </w:p>
    <w:p w:rsidR="00055BD6" w:rsidRPr="009F5B00" w:rsidRDefault="009E43F8" w:rsidP="009F5B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A4FF6">
        <w:rPr>
          <w:color w:val="000000"/>
        </w:rPr>
        <w:t>If the department filing the objection is not in the same college as the department</w:t>
      </w:r>
      <w:r>
        <w:rPr>
          <w:color w:val="000000"/>
        </w:rPr>
        <w:t xml:space="preserve"> </w:t>
      </w:r>
      <w:r w:rsidRPr="006A4FF6">
        <w:rPr>
          <w:color w:val="000000"/>
        </w:rPr>
        <w:t>offering the course, a written objection should be made to the chair of the Faculty</w:t>
      </w:r>
      <w:r>
        <w:rPr>
          <w:color w:val="000000"/>
        </w:rPr>
        <w:t xml:space="preserve"> </w:t>
      </w:r>
      <w:r w:rsidRPr="006A4FF6">
        <w:rPr>
          <w:color w:val="000000"/>
        </w:rPr>
        <w:t>Senate Curriculum Com</w:t>
      </w:r>
      <w:bookmarkStart w:id="0" w:name="_GoBack"/>
      <w:bookmarkEnd w:id="0"/>
      <w:r w:rsidRPr="006A4FF6">
        <w:rPr>
          <w:color w:val="000000"/>
        </w:rPr>
        <w:t>mittee. Copies should be provided to the Office of the</w:t>
      </w:r>
      <w:r>
        <w:rPr>
          <w:color w:val="000000"/>
        </w:rPr>
        <w:t xml:space="preserve"> </w:t>
      </w:r>
      <w:r w:rsidRPr="006A4FF6">
        <w:rPr>
          <w:color w:val="000000"/>
        </w:rPr>
        <w:t>Registrar and to the head of the department offering the course in question. The</w:t>
      </w:r>
      <w:r>
        <w:rPr>
          <w:color w:val="000000"/>
        </w:rPr>
        <w:t xml:space="preserve"> </w:t>
      </w:r>
      <w:r w:rsidRPr="006A4FF6">
        <w:rPr>
          <w:color w:val="000000"/>
        </w:rPr>
        <w:t>decision as to whether the course can be offered again is reserved for the Faculty</w:t>
      </w:r>
      <w:r>
        <w:rPr>
          <w:color w:val="000000"/>
        </w:rPr>
        <w:t xml:space="preserve"> </w:t>
      </w:r>
      <w:r w:rsidRPr="006A4FF6">
        <w:rPr>
          <w:color w:val="000000"/>
        </w:rPr>
        <w:t>Senate Curriculum Committee.</w:t>
      </w:r>
      <w:r w:rsidR="009F5B00">
        <w:rPr>
          <w:color w:val="000000"/>
        </w:rPr>
        <w:br/>
      </w:r>
      <w:r w:rsidR="009F5B00">
        <w:rPr>
          <w:i/>
          <w:iCs/>
          <w:color w:val="000000"/>
        </w:rPr>
        <w:br/>
      </w:r>
      <w:r w:rsidR="00B93C4D">
        <w:rPr>
          <w:i/>
          <w:iCs/>
          <w:color w:val="000000"/>
          <w:sz w:val="18"/>
          <w:szCs w:val="18"/>
        </w:rPr>
        <w:t xml:space="preserve">Objection Policy </w:t>
      </w:r>
      <w:r w:rsidRPr="009F5B00">
        <w:rPr>
          <w:i/>
          <w:iCs/>
          <w:color w:val="000000"/>
          <w:sz w:val="18"/>
          <w:szCs w:val="18"/>
        </w:rPr>
        <w:t>Last Revised 4/07</w:t>
      </w:r>
    </w:p>
    <w:sectPr w:rsidR="00055BD6" w:rsidRPr="009F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8F5"/>
    <w:multiLevelType w:val="multilevel"/>
    <w:tmpl w:val="DCC4DA2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666E35"/>
    <w:multiLevelType w:val="hybridMultilevel"/>
    <w:tmpl w:val="61183276"/>
    <w:lvl w:ilvl="0" w:tplc="24E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C6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C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4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A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0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600E9E"/>
    <w:multiLevelType w:val="hybridMultilevel"/>
    <w:tmpl w:val="E12A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7282"/>
    <w:multiLevelType w:val="multilevel"/>
    <w:tmpl w:val="62E462C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6409E3"/>
    <w:multiLevelType w:val="multilevel"/>
    <w:tmpl w:val="1382CDB0"/>
    <w:lvl w:ilvl="0">
      <w:start w:val="3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776E30"/>
    <w:multiLevelType w:val="hybridMultilevel"/>
    <w:tmpl w:val="0CC092EE"/>
    <w:lvl w:ilvl="0" w:tplc="5AAE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67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2B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A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89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C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C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C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B7740D"/>
    <w:multiLevelType w:val="hybridMultilevel"/>
    <w:tmpl w:val="708E6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1671C"/>
    <w:multiLevelType w:val="hybridMultilevel"/>
    <w:tmpl w:val="BDF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0245B"/>
    <w:multiLevelType w:val="multilevel"/>
    <w:tmpl w:val="C9AA2320"/>
    <w:lvl w:ilvl="0">
      <w:start w:val="50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99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0E2BFF"/>
    <w:multiLevelType w:val="hybridMultilevel"/>
    <w:tmpl w:val="08B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40740"/>
    <w:multiLevelType w:val="hybridMultilevel"/>
    <w:tmpl w:val="44C82E96"/>
    <w:lvl w:ilvl="0" w:tplc="3C3E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637F"/>
    <w:multiLevelType w:val="hybridMultilevel"/>
    <w:tmpl w:val="7B44438C"/>
    <w:lvl w:ilvl="0" w:tplc="BA002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A2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6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07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6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0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2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00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25452D"/>
    <w:multiLevelType w:val="hybridMultilevel"/>
    <w:tmpl w:val="0A48DADA"/>
    <w:lvl w:ilvl="0" w:tplc="93DA8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42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6F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E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2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E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C2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4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AB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956A49"/>
    <w:multiLevelType w:val="hybridMultilevel"/>
    <w:tmpl w:val="672A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F527B"/>
    <w:multiLevelType w:val="hybridMultilevel"/>
    <w:tmpl w:val="DDA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95316"/>
    <w:multiLevelType w:val="hybridMultilevel"/>
    <w:tmpl w:val="5134D1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A700BE"/>
    <w:multiLevelType w:val="hybridMultilevel"/>
    <w:tmpl w:val="691A976E"/>
    <w:lvl w:ilvl="0" w:tplc="FED85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06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E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0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B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2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5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4"/>
    <w:rsid w:val="00055BD6"/>
    <w:rsid w:val="001067CA"/>
    <w:rsid w:val="00195B65"/>
    <w:rsid w:val="001D62BA"/>
    <w:rsid w:val="002E3A32"/>
    <w:rsid w:val="00517977"/>
    <w:rsid w:val="00690D94"/>
    <w:rsid w:val="009E43F8"/>
    <w:rsid w:val="009F5B00"/>
    <w:rsid w:val="00A24DBE"/>
    <w:rsid w:val="00B93C4D"/>
    <w:rsid w:val="00C1132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uiPriority w:val="1"/>
    <w:rsid w:val="00C11328"/>
    <w:rPr>
      <w:rFonts w:ascii="Univers 45 Light" w:hAnsi="Univers 45 Light"/>
      <w:sz w:val="18"/>
    </w:rPr>
  </w:style>
  <w:style w:type="character" w:styleId="Hyperlink">
    <w:name w:val="Hyperlink"/>
    <w:basedOn w:val="DefaultParagraphFont"/>
    <w:uiPriority w:val="99"/>
    <w:unhideWhenUsed/>
    <w:rsid w:val="00690D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uiPriority w:val="1"/>
    <w:rsid w:val="00C11328"/>
    <w:rPr>
      <w:rFonts w:ascii="Univers 45 Light" w:hAnsi="Univers 45 Light"/>
      <w:sz w:val="18"/>
    </w:rPr>
  </w:style>
  <w:style w:type="character" w:styleId="Hyperlink">
    <w:name w:val="Hyperlink"/>
    <w:basedOn w:val="DefaultParagraphFont"/>
    <w:uiPriority w:val="99"/>
    <w:unhideWhenUsed/>
    <w:rsid w:val="00690D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strar.iastate.edu/faculty-staff/offering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strar.iastate.edu/faculty-staff/offering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cchulse</dc:creator>
  <cp:lastModifiedBy>cchulse</cp:lastModifiedBy>
  <cp:revision>2</cp:revision>
  <dcterms:created xsi:type="dcterms:W3CDTF">2014-01-24T14:56:00Z</dcterms:created>
  <dcterms:modified xsi:type="dcterms:W3CDTF">2014-01-24T14:56:00Z</dcterms:modified>
</cp:coreProperties>
</file>